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object w:dxaOrig="8640" w:dyaOrig="11894">
          <v:rect xmlns:o="urn:schemas-microsoft-com:office:office" xmlns:v="urn:schemas-microsoft-com:vml" id="rectole0000000000" style="width:432.000000pt;height:594.7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Пояснительная записка к учебному плану МКОО Старорождественская НШ</w:t>
      </w:r>
    </w:p>
    <w:p>
      <w:pPr>
        <w:spacing w:before="0" w:after="0" w:line="240"/>
        <w:ind w:right="0" w:left="0" w:firstLine="0"/>
        <w:jc w:val="center"/>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2021-2022 </w:t>
      </w:r>
      <w:r>
        <w:rPr>
          <w:rFonts w:ascii="Times New Roman" w:hAnsi="Times New Roman" w:cs="Times New Roman" w:eastAsia="Times New Roman"/>
          <w:b/>
          <w:color w:val="auto"/>
          <w:spacing w:val="0"/>
          <w:position w:val="0"/>
          <w:sz w:val="32"/>
          <w:shd w:fill="auto" w:val="clear"/>
        </w:rPr>
        <w:t xml:space="preserve">учебный год</w:t>
      </w:r>
    </w:p>
    <w:p>
      <w:pPr>
        <w:spacing w:before="0" w:after="0" w:line="240"/>
        <w:ind w:right="0" w:left="0" w:firstLine="0"/>
        <w:jc w:val="center"/>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Учебный план начального общего образования</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Нормативно-правовая база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Учебные планы муниципальной казённой общеобразовательной организации Старорождественская начальная школа Старомайнского района Ульяновской области являются нормативным документом, определяющим максимальный объем учебной нагрузки обучающихся, состав учебных предметов, распределяющим учебное время, отводимое на освоение содержания образования по классам, учебным предметам.</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Учебные планы школы соответствует действующему законодательству Российской Федерации в области образования, обеспечивают исполнение федеральных государственных образовательных стандартов.</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Учебные планы школы разработаны на основе следующих нормативных документов:</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Федеральный закон от 29.12.2012 №273-ФЗ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образовании в Российской Федерации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 компетенции образовательного учреждения относит разработку и утверждение компонента образовательного учреждения государственного стандарта общего образования, образовательных программ и учебных планов.</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Федеральный государственный образовательный стандарт начального общего образования (для учащихся 1-4-х классов);</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Постановление Главного государственного санитарного врача Российской Федерации от 29 декабря 2010 г. № 189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утверждении СанПин 2.4.2.2821-10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Санитарно-эпидемиологические требования к условиям и организации обучения в общеобразовательных учреждениях</w:t>
      </w:r>
      <w:r>
        <w:rPr>
          <w:rFonts w:ascii="Times New Roman" w:hAnsi="Times New Roman" w:cs="Times New Roman" w:eastAsia="Times New Roman"/>
          <w:color w:val="auto"/>
          <w:spacing w:val="0"/>
          <w:position w:val="0"/>
          <w:sz w:val="28"/>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Санитарно-эпидемиологические правила и нормативы СанПин 2.4.2.1178-02; п.2.9. Требования к режиму образовательного процесса;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Письмо Министерства народного образования РСФСР от 14.11.88 № 17-253-6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индивидуальном обучении больных детей на дому</w:t>
      </w:r>
      <w:r>
        <w:rPr>
          <w:rFonts w:ascii="Times New Roman" w:hAnsi="Times New Roman" w:cs="Times New Roman" w:eastAsia="Times New Roman"/>
          <w:color w:val="auto"/>
          <w:spacing w:val="0"/>
          <w:position w:val="0"/>
          <w:sz w:val="28"/>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Приказ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утверждении федеральных перечней учебников, рекомендованных (допущенных) к использованию в образовательном процессов образовательных учреждениях, реализующих образовательные программы общего образования и имеющих государственную аккредитацию, на 2014/2015 учебный год</w:t>
      </w:r>
      <w:r>
        <w:rPr>
          <w:rFonts w:ascii="Times New Roman" w:hAnsi="Times New Roman" w:cs="Times New Roman" w:eastAsia="Times New Roman"/>
          <w:color w:val="auto"/>
          <w:spacing w:val="0"/>
          <w:position w:val="0"/>
          <w:sz w:val="28"/>
          <w:shd w:fill="auto" w:val="clear"/>
        </w:rPr>
        <w:t xml:space="preserve">» № 253 </w:t>
      </w:r>
      <w:r>
        <w:rPr>
          <w:rFonts w:ascii="Times New Roman" w:hAnsi="Times New Roman" w:cs="Times New Roman" w:eastAsia="Times New Roman"/>
          <w:color w:val="auto"/>
          <w:spacing w:val="0"/>
          <w:position w:val="0"/>
          <w:sz w:val="28"/>
          <w:shd w:fill="auto" w:val="clear"/>
        </w:rPr>
        <w:t xml:space="preserve">от 31 марта 2014 г.</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Распоряжения Министерства образования Ульяновской области от 22 марта 2012г. № 990-р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преподавании в общеобразовательных учреждениях Ульяновской области комплексного учебного курса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Основы религиозных культур и светской этики</w:t>
      </w:r>
      <w:r>
        <w:rPr>
          <w:rFonts w:ascii="Times New Roman" w:hAnsi="Times New Roman" w:cs="Times New Roman" w:eastAsia="Times New Roman"/>
          <w:color w:val="auto"/>
          <w:spacing w:val="0"/>
          <w:position w:val="0"/>
          <w:sz w:val="28"/>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Учебные программы по предметам;</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Основная образовательная программа школы.</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Устав МКОО Старорождественская НШ;</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Локальные акты:</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Положение о системе оценки достижения планируемых результатов освоения основной образовательной программы общего образования МКОО Старорождественская НШ</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Положение о промежуточной аттестации обучающихся в переводных классах. </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организации образовательной деятельности используются следующие разделы учебного плана:</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начальное общее образование (1-4 классы);  </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МКОО Старорождественская НШ работает по учебным программам и учебникам, рекомендованным приказом Министерства просвещения РФ от 28 декабря 2018 г. № 345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 составлении учебного плана учитывались результаты образовательной деятельности, имеющееся кадровое обеспечение, материально-техническая база школы, запросы участников образовательных отношений.         Учебный план МКОО Старорождественская НШ обеспечивает возможность преподавания и изучения родного языка из числа языков народов Российской Федерации, в том числе русского языка как родного языка.  </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 </w:t>
      </w:r>
      <w:r>
        <w:rPr>
          <w:rFonts w:ascii="Times New Roman" w:hAnsi="Times New Roman" w:cs="Times New Roman" w:eastAsia="Times New Roman"/>
          <w:b/>
          <w:color w:val="auto"/>
          <w:spacing w:val="0"/>
          <w:position w:val="0"/>
          <w:sz w:val="28"/>
          <w:shd w:fill="auto" w:val="clear"/>
        </w:rPr>
        <w:t xml:space="preserve">Учебный план начального общего образования ФГОС НОО МКОО Старорождественская НШ</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Системно-деятельностный подход – концептуальная основа образовательной программы МКОО Старорождественская НШ. Образовательная программа начального общего образования школы реализует ФГОС НОО через ряд деятельностно – ориентированных принципов:</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Принцип обучения деятельности.</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Принципы управляемого перехода от деятельности в учебной ситуации к деятельности в жизненной ситуации и от совместной учебно-познавательной деятельности к самостоятельной деятельности.</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Образовательные технологии обеспечивают достижение требований стандартов, обладают значительным воспитательным и развивающим, а также здоровьесберегающим потенциалом, что отвечает современным приоритетным потребностям личности, общества и государства: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технология уровневой дифференциации обучения,</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технология создания учебных ситуаций,</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технологии, основанные на реализации исследовательской деятельности,</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информационных и коммуникационных технологий обучения,</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технологии когнитивного обучения;</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проблемно-диалогическая технология;</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технология формирования типа правильной читательской деятельности (продуктивного чтения);</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технология оценивания учебных успехов;</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проектная технология.</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Реализация образовательных программ по предметам, рабочих программ учителей основана на совокупности нескольких технологий. Эффективное использование данных технологий позволяет педагогам в полном объеме реализовать деятельностный подход в работе с учащимися.</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достижения поставленных целей образовательная программа школы формирует пакет рабочих программ на основе образовательной программы начального общего образования, ФГОС НОО, реализация которых призвана обеспечить:</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знакомство обучающихся с родным языком как областью научного знания, формирование навыков читательской деятельности, культуры устной и письменной речи; овладение общением на иностранном языке, знание литературы и искусства русского народа. Основные содержательные линии: коммуникативная компетенция, языковая компетенция, читательская компетенция.</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основу для формирования у обучающихся умений работать с различными математическими объектами, определять свойства и зависимости; решать математические задачи; развивать математическое мышление, умение строить алгоритм решения учебной задачи, доказывать, рассуждать; владеть несложной устной и письменной математической речью. Основные содержательные линии: числа, вычисления, решение арифметических задач, геометрические фигуры, измерение геометрических величин;</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интеграцию знаний о природе, общества и человека, их взаимодействии и взаимовлиянии, формирование целостного взгляда на мир и место в нем человека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формирование представлений о природном и социальном мире, возможностях и способностях человека, воспитание правильного отношения к среде обитания, правил взаимоотношений с другими людьми, развитие интереса к природе и обществу, истории и культуре родной страны. Основные содержательные линии: природа, человек и природа; тела, вещества и явления природы; живые организмы; человек и его деятельность; общество; родная страна.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осознание значения трудовой деятельности человека, расширение представлений обучающихся о мире техники, о материалах и машинах, необходимых для труда.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Формирование трудовых умений и навыков, необходимых для разных видов труда (художественный, хозяйственный, труд в природе), воспитание интереса и желания трудиться. Основные содержательные линии: трудовая деятельность человека; организация и планирование труда.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формирование основ художественной культуры, приобщение к миру изобразительного и музыкального искусства, освоение художественного опыта прошлого и настоящего, знакомство с разнообразной творческой деятельностью. Основные содержательные линии: искусство в жизни и обществе; изобразительное искусство; музыкальное искусство.</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ознакомление обучающихся с основными свойствами организма человека, развитие их двигательной активности и физической культуры, овладевание разнообразными двигательными действиями и играми, умениями укреплять здоровье и развивать свои двигательные способности.</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Основные содержательные линии: двигательные действия, телесные функции организма.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Учебный план начальных классов </w:t>
      </w:r>
      <w:r>
        <w:rPr>
          <w:rFonts w:ascii="Times New Roman" w:hAnsi="Times New Roman" w:cs="Times New Roman" w:eastAsia="Times New Roman"/>
          <w:color w:val="auto"/>
          <w:spacing w:val="0"/>
          <w:position w:val="0"/>
          <w:sz w:val="28"/>
          <w:shd w:fill="auto" w:val="clear"/>
        </w:rPr>
        <w:t xml:space="preserve">построен на основе учебного плана, Примерной основной образовательной программой начального общего образования (источник информации: сайт Министерства образования и науки Российской Федерации/раздел ФГОС) и сохраняет его структуру, образовательные области, учебные предметы, отвечает всем требованиям, предъявляемым к содержанию образования, не превышает обязательную и максимально допустимую нагрузку ученика. МКОО Старорождественская НШ на уровне начального общего образования реализует общеобразовательные программы для начальной школы. Учебный план 1-4-х классов основан на ФГОС НОО. Используются УМК образовательной системы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Планета знаний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 УМК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Школа России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Учебный план начальных классов направлен на развитие познавательных способностей учащихся, а также на формирование универсальных учебных действий, необходимых для успешного обучения на втором и третьем уровнях образования. Индивидуально-групповые консультации предназначены для:</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расширения программного содержания;</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организации работы со способными и одаренными учащимися с целью развития их познавательных интересов, творческих способностей и становления исследовательской позиции учащегося;</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предупреждение неуспешности учащихся, выравнивание их стартовых позиций;</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оказание индивидуальной помощи учащимся с ослабленным здоровьем.</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Обязательная (инвариантная) часть учебного плана </w:t>
      </w:r>
      <w:r>
        <w:rPr>
          <w:rFonts w:ascii="Times New Roman" w:hAnsi="Times New Roman" w:cs="Times New Roman" w:eastAsia="Times New Roman"/>
          <w:color w:val="auto"/>
          <w:spacing w:val="0"/>
          <w:position w:val="0"/>
          <w:sz w:val="28"/>
          <w:shd w:fill="auto" w:val="clear"/>
        </w:rPr>
        <w:t xml:space="preserve">определяет состав обязательных учебных предметов для реализации основной образовательной программы начального общего образования и учебное время, отводимое на их изучение по классам (годам) обучения. Соотношение инвариантной и вариативной части учебного плана составляет 80% - 20%.</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Вариативная часть учебного плана, формируемая участниками образовательного процесса (компонент образовательного учреждения и внеурочная деятельность)</w:t>
      </w:r>
      <w:r>
        <w:rPr>
          <w:rFonts w:ascii="Times New Roman" w:hAnsi="Times New Roman" w:cs="Times New Roman" w:eastAsia="Times New Roman"/>
          <w:color w:val="auto"/>
          <w:spacing w:val="0"/>
          <w:position w:val="0"/>
          <w:sz w:val="28"/>
          <w:shd w:fill="auto" w:val="clear"/>
        </w:rPr>
        <w:t xml:space="preserve">, обеспечивает реализацию социального образовательного заказа и индивидуальное развитие обучающихся. Механизмы выявления образовательного заказа и формирования вариативной</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части учебного плана зафиксированы в локальных актах.</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Внеурочная деятельность </w:t>
      </w:r>
      <w:r>
        <w:rPr>
          <w:rFonts w:ascii="Times New Roman" w:hAnsi="Times New Roman" w:cs="Times New Roman" w:eastAsia="Times New Roman"/>
          <w:color w:val="auto"/>
          <w:spacing w:val="0"/>
          <w:position w:val="0"/>
          <w:sz w:val="28"/>
          <w:shd w:fill="auto" w:val="clear"/>
        </w:rPr>
        <w:t xml:space="preserve">организуется по направлениям развития личности (общеинтеллектуальное, общекультурное, патриотическое) в отличных от учебных занятий формах, таких как экскурсии, кружки, секции, круглые столы, конференции, диспуты, школьные научные общества, олимпиады, научные исследования, проектная и исследовательская деятельность, компьютерные занятия, экскурсии, кружки, школьные научные общества, олимпиады, интеллектуальные марафоны, общественно полезные практики, секции, соревнования и т. д.</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Обучение в 1-м классе осуществляется с соблюдением следующих требований:</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учебные занятия проводятся по 5-дневной учебной неделе в первую смену;</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использование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ступенчатого</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 Продолжительность урока (академический час) во 2 – 4-х классах - 40 минут. Обучение в 1 классе и во 2 классе в первом полугодии проводится без балльного оценивания знаний обучающихся. В 1-м классе отсутствуют домашние задания. Продолжительность перемен между уроками составляет не менее 10 минут, большой перемены (после 2 и 3 уроков) – 20 минут.</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Продолжительность учебного года: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w:t>
      </w:r>
      <w:r>
        <w:rPr>
          <w:rFonts w:ascii="Times New Roman" w:hAnsi="Times New Roman" w:cs="Times New Roman" w:eastAsia="Times New Roman"/>
          <w:color w:val="auto"/>
          <w:spacing w:val="0"/>
          <w:position w:val="0"/>
          <w:sz w:val="28"/>
          <w:shd w:fill="auto" w:val="clear"/>
        </w:rPr>
        <w:t xml:space="preserve">класс – 31 учебные недели;</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II–IV </w:t>
      </w:r>
      <w:r>
        <w:rPr>
          <w:rFonts w:ascii="Times New Roman" w:hAnsi="Times New Roman" w:cs="Times New Roman" w:eastAsia="Times New Roman"/>
          <w:color w:val="auto"/>
          <w:spacing w:val="0"/>
          <w:position w:val="0"/>
          <w:sz w:val="28"/>
          <w:shd w:fill="auto" w:val="clear"/>
        </w:rPr>
        <w:t xml:space="preserve">класс – 32 учебных недель</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первых классах назначаются дополнительные недельные каникулы в феврале.</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8"/>
          <w:shd w:fill="auto" w:val="clear"/>
        </w:rPr>
      </w:pPr>
    </w:p>
    <w:tbl>
      <w:tblPr/>
      <w:tblGrid>
        <w:gridCol w:w="5665"/>
        <w:gridCol w:w="3680"/>
      </w:tblGrid>
      <w:tr>
        <w:trPr>
          <w:trHeight w:val="1" w:hRule="atLeast"/>
          <w:jc w:val="left"/>
        </w:trPr>
        <w:tc>
          <w:tcPr>
            <w:tcW w:w="5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Продолжительность учебной недели</w:t>
            </w:r>
          </w:p>
        </w:tc>
        <w:tc>
          <w:tcPr>
            <w:tcW w:w="3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1- 4 </w:t>
            </w:r>
            <w:r>
              <w:rPr>
                <w:rFonts w:ascii="Times New Roman" w:hAnsi="Times New Roman" w:cs="Times New Roman" w:eastAsia="Times New Roman"/>
                <w:color w:val="auto"/>
                <w:spacing w:val="0"/>
                <w:position w:val="0"/>
                <w:sz w:val="28"/>
                <w:shd w:fill="auto" w:val="clear"/>
              </w:rPr>
              <w:t xml:space="preserve">классы - 5 дней</w:t>
            </w:r>
          </w:p>
        </w:tc>
      </w:tr>
      <w:tr>
        <w:trPr>
          <w:trHeight w:val="1" w:hRule="atLeast"/>
          <w:jc w:val="left"/>
        </w:trPr>
        <w:tc>
          <w:tcPr>
            <w:tcW w:w="5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Максимальный объём учебной нагрузки в неделю</w:t>
            </w:r>
          </w:p>
        </w:tc>
        <w:tc>
          <w:tcPr>
            <w:tcW w:w="3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класс - 21 час</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класс - 23 часа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класс - 23 часа</w:t>
            </w:r>
          </w:p>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класс - 23 часа</w:t>
            </w:r>
          </w:p>
        </w:tc>
      </w:tr>
      <w:tr>
        <w:trPr>
          <w:trHeight w:val="1" w:hRule="atLeast"/>
          <w:jc w:val="left"/>
        </w:trPr>
        <w:tc>
          <w:tcPr>
            <w:tcW w:w="5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Сменность занятий</w:t>
            </w:r>
          </w:p>
        </w:tc>
        <w:tc>
          <w:tcPr>
            <w:tcW w:w="3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смена</w:t>
            </w:r>
          </w:p>
        </w:tc>
      </w:tr>
      <w:tr>
        <w:trPr>
          <w:trHeight w:val="1" w:hRule="atLeast"/>
          <w:jc w:val="left"/>
        </w:trPr>
        <w:tc>
          <w:tcPr>
            <w:tcW w:w="5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Учебные периоды</w:t>
            </w:r>
          </w:p>
        </w:tc>
        <w:tc>
          <w:tcPr>
            <w:tcW w:w="3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триместр</w:t>
            </w:r>
          </w:p>
        </w:tc>
      </w:tr>
      <w:tr>
        <w:trPr>
          <w:trHeight w:val="1" w:hRule="atLeast"/>
          <w:jc w:val="left"/>
        </w:trPr>
        <w:tc>
          <w:tcPr>
            <w:tcW w:w="5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Продолжительность каникул</w:t>
            </w:r>
          </w:p>
        </w:tc>
        <w:tc>
          <w:tcPr>
            <w:tcW w:w="3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течение учебного года составляет не</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менее 30 календарных дней, летом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не менее 8 недель;</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для учащихся 1-х классов</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устанавливаются дополнительные</w:t>
            </w:r>
          </w:p>
          <w:p>
            <w:pPr>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недельные каникулы.</w:t>
            </w:r>
          </w:p>
        </w:tc>
      </w:tr>
    </w:tbl>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Учебный план школы состоит из двух частей: обязательной части и части, формируемой участниками образовательного процесса, включающей внеурочную деятельность.</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Обязательная часть </w:t>
      </w:r>
      <w:r>
        <w:rPr>
          <w:rFonts w:ascii="Times New Roman" w:hAnsi="Times New Roman" w:cs="Times New Roman" w:eastAsia="Times New Roman"/>
          <w:color w:val="auto"/>
          <w:spacing w:val="0"/>
          <w:position w:val="0"/>
          <w:sz w:val="28"/>
          <w:shd w:fill="auto" w:val="clear"/>
        </w:rPr>
        <w:t xml:space="preserve">учебного плана начальной школы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начального общего образования, и учебное время, отводимое на их изучение по классам (годам) обучения. Учебное время, отводимое на изучение учебных предметов обязательной части составляет 80% от максимального объёма учебной нагрузки обучающихся.</w:t>
      </w:r>
      <w:r>
        <w:rPr>
          <w:rFonts w:ascii="Times New Roman" w:hAnsi="Times New Roman" w:cs="Times New Roman" w:eastAsia="Times New Roman"/>
          <w:b/>
          <w:color w:val="auto"/>
          <w:spacing w:val="0"/>
          <w:position w:val="0"/>
          <w:sz w:val="28"/>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Часть учебного плана, формируемая участниками образовательного процесса, </w:t>
      </w:r>
      <w:r>
        <w:rPr>
          <w:rFonts w:ascii="Times New Roman" w:hAnsi="Times New Roman" w:cs="Times New Roman" w:eastAsia="Times New Roman"/>
          <w:color w:val="auto"/>
          <w:spacing w:val="0"/>
          <w:position w:val="0"/>
          <w:sz w:val="28"/>
          <w:shd w:fill="auto" w:val="clear"/>
        </w:rPr>
        <w:t xml:space="preserve">определяет содержание образования, обеспечивающего реализацию образовательного заказа всех участников образовательного процесса. При пятидневной учебной неделе в начальных классах школы (согласно Примерному учебному плану)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учебном плане 4 класса преподается 1 час  </w:t>
      </w:r>
      <w:r>
        <w:rPr>
          <w:rFonts w:ascii="Times New Roman" w:hAnsi="Times New Roman" w:cs="Times New Roman" w:eastAsia="Times New Roman"/>
          <w:b/>
          <w:color w:val="auto"/>
          <w:spacing w:val="0"/>
          <w:position w:val="0"/>
          <w:sz w:val="28"/>
          <w:shd w:fill="auto" w:val="clear"/>
        </w:rPr>
        <w:t xml:space="preserve">ОРКСЭ (Основы религиозных культур и светской этики)</w:t>
      </w:r>
      <w:r>
        <w:rPr>
          <w:rFonts w:ascii="Times New Roman" w:hAnsi="Times New Roman" w:cs="Times New Roman" w:eastAsia="Times New Roman"/>
          <w:color w:val="auto"/>
          <w:spacing w:val="0"/>
          <w:position w:val="0"/>
          <w:sz w:val="28"/>
          <w:shd w:fill="auto" w:val="clear"/>
        </w:rPr>
        <w:t xml:space="preserve">, на основании опроса учащихся и их родителей (законных представителей) данный курс представлен модулем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Основы православной культуры</w:t>
      </w:r>
      <w:r>
        <w:rPr>
          <w:rFonts w:ascii="Times New Roman" w:hAnsi="Times New Roman" w:cs="Times New Roman" w:eastAsia="Times New Roman"/>
          <w:b/>
          <w:color w:val="auto"/>
          <w:spacing w:val="0"/>
          <w:position w:val="0"/>
          <w:sz w:val="28"/>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Из части, формируемой участниками образовательного процесса, в 2,4, классах введен учебный предмет-русский язык, в 3 классе родной русский язык по согласию родителей.</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Уроки начинаются поступенчато-3 класс начинает занятия со 2 урока.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Муниципальная казенная общеобразовательная организация</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Старорождественская  начальная школа</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Учебный план на 2021-2022 учебный год</w:t>
      </w:r>
    </w:p>
    <w:tbl>
      <w:tblPr/>
      <w:tblGrid>
        <w:gridCol w:w="1800"/>
        <w:gridCol w:w="1379"/>
        <w:gridCol w:w="2218"/>
        <w:gridCol w:w="1133"/>
        <w:gridCol w:w="991"/>
        <w:gridCol w:w="2075"/>
      </w:tblGrid>
      <w:tr>
        <w:trPr>
          <w:trHeight w:val="375" w:hRule="auto"/>
          <w:jc w:val="center"/>
        </w:trPr>
        <w:tc>
          <w:tcPr>
            <w:tcW w:w="1800"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Предметные области</w:t>
            </w:r>
          </w:p>
        </w:tc>
        <w:tc>
          <w:tcPr>
            <w:tcW w:w="3597" w:type="dxa"/>
            <w:gridSpan w:val="2"/>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Учебные предметы </w:t>
            </w:r>
          </w:p>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классы</w:t>
            </w:r>
          </w:p>
        </w:tc>
      </w:tr>
      <w:tr>
        <w:trPr>
          <w:trHeight w:val="375" w:hRule="auto"/>
          <w:jc w:val="center"/>
        </w:trPr>
        <w:tc>
          <w:tcPr>
            <w:tcW w:w="180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597" w:type="dxa"/>
            <w:gridSpan w:val="2"/>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II</w:t>
            </w:r>
          </w:p>
        </w:tc>
        <w:tc>
          <w:tcPr>
            <w:tcW w:w="9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III</w:t>
            </w:r>
          </w:p>
        </w:tc>
        <w:tc>
          <w:tcPr>
            <w:tcW w:w="20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IV</w:t>
            </w:r>
          </w:p>
        </w:tc>
      </w:tr>
      <w:tr>
        <w:trPr>
          <w:trHeight w:val="375" w:hRule="auto"/>
          <w:jc w:val="center"/>
        </w:trPr>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59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Обязательная часть</w:t>
            </w:r>
          </w:p>
        </w:tc>
      </w:tr>
      <w:tr>
        <w:trPr>
          <w:trHeight w:val="375" w:hRule="auto"/>
          <w:jc w:val="center"/>
        </w:trPr>
        <w:tc>
          <w:tcPr>
            <w:tcW w:w="1800"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Русский язык и литературное чтение</w:t>
            </w:r>
          </w:p>
        </w:tc>
        <w:tc>
          <w:tcPr>
            <w:tcW w:w="359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Русский язык</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9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20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375" w:hRule="auto"/>
          <w:jc w:val="center"/>
        </w:trPr>
        <w:tc>
          <w:tcPr>
            <w:tcW w:w="180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59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Литературное чтение</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9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20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104" w:hRule="auto"/>
          <w:jc w:val="center"/>
        </w:trPr>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Родной язык и литературное чтение на родном языке</w:t>
            </w:r>
          </w:p>
        </w:tc>
        <w:tc>
          <w:tcPr>
            <w:tcW w:w="359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Родной русскии язык</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9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0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585" w:hRule="auto"/>
          <w:jc w:val="center"/>
        </w:trPr>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Иностранный язык</w:t>
            </w:r>
          </w:p>
        </w:tc>
        <w:tc>
          <w:tcPr>
            <w:tcW w:w="359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Немецкий язык</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9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20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375" w:hRule="auto"/>
          <w:jc w:val="center"/>
        </w:trPr>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tabs>
                <w:tab w:val="left" w:pos="4500" w:leader="none"/>
                <w:tab w:val="left" w:pos="9180" w:leader="none"/>
                <w:tab w:val="left" w:pos="9360"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Математика и информатика</w:t>
            </w:r>
          </w:p>
        </w:tc>
        <w:tc>
          <w:tcPr>
            <w:tcW w:w="359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tabs>
                <w:tab w:val="left" w:pos="4500" w:leader="none"/>
                <w:tab w:val="left" w:pos="9180" w:leader="none"/>
                <w:tab w:val="left" w:pos="9360"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Математика </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9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20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375" w:hRule="auto"/>
          <w:jc w:val="center"/>
        </w:trPr>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tabs>
                <w:tab w:val="left" w:pos="4500" w:leader="none"/>
                <w:tab w:val="left" w:pos="9180" w:leader="none"/>
                <w:tab w:val="left" w:pos="9360"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Обществознание и естествознание</w:t>
            </w:r>
          </w:p>
        </w:tc>
        <w:tc>
          <w:tcPr>
            <w:tcW w:w="359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tabs>
                <w:tab w:val="left" w:pos="4500" w:leader="none"/>
                <w:tab w:val="left" w:pos="9180" w:leader="none"/>
                <w:tab w:val="left" w:pos="9360"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Окружающий мир</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9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20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375" w:hRule="auto"/>
          <w:jc w:val="center"/>
        </w:trPr>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tabs>
                <w:tab w:val="left" w:pos="4500" w:leader="none"/>
                <w:tab w:val="left" w:pos="9180" w:leader="none"/>
                <w:tab w:val="left" w:pos="9360" w:leader="none"/>
              </w:tabs>
              <w:spacing w:before="0" w:after="0" w:line="240"/>
              <w:ind w:right="0" w:left="0" w:firstLine="0"/>
              <w:jc w:val="left"/>
              <w:rPr>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Основы </w:t>
            </w:r>
            <w:r>
              <w:rPr>
                <w:rFonts w:ascii="Times New Roman" w:hAnsi="Times New Roman" w:cs="Times New Roman" w:eastAsia="Times New Roman"/>
                <w:color w:val="000000"/>
                <w:spacing w:val="0"/>
                <w:position w:val="0"/>
                <w:sz w:val="24"/>
                <w:shd w:fill="auto" w:val="clear"/>
              </w:rPr>
              <w:t xml:space="preserve">религиозной культуры и светской этики</w:t>
            </w:r>
          </w:p>
        </w:tc>
        <w:tc>
          <w:tcPr>
            <w:tcW w:w="359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tabs>
                <w:tab w:val="left" w:pos="4500" w:leader="none"/>
                <w:tab w:val="left" w:pos="9180" w:leader="none"/>
                <w:tab w:val="left" w:pos="9360" w:leader="none"/>
              </w:tabs>
              <w:spacing w:before="0" w:after="0" w:line="240"/>
              <w:ind w:right="0" w:left="0" w:firstLine="0"/>
              <w:jc w:val="left"/>
              <w:rPr>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Основы </w:t>
            </w:r>
            <w:r>
              <w:rPr>
                <w:rFonts w:ascii="Times New Roman" w:hAnsi="Times New Roman" w:cs="Times New Roman" w:eastAsia="Times New Roman"/>
                <w:color w:val="000000"/>
                <w:spacing w:val="0"/>
                <w:position w:val="0"/>
                <w:sz w:val="24"/>
                <w:shd w:fill="auto" w:val="clear"/>
              </w:rPr>
              <w:t xml:space="preserve">православной культуры</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w:t>
            </w:r>
          </w:p>
        </w:tc>
        <w:tc>
          <w:tcPr>
            <w:tcW w:w="9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w:t>
            </w:r>
          </w:p>
        </w:tc>
        <w:tc>
          <w:tcPr>
            <w:tcW w:w="20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w:t>
            </w:r>
          </w:p>
        </w:tc>
      </w:tr>
      <w:tr>
        <w:trPr>
          <w:trHeight w:val="375" w:hRule="auto"/>
          <w:jc w:val="center"/>
        </w:trPr>
        <w:tc>
          <w:tcPr>
            <w:tcW w:w="1800"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Искусство</w:t>
            </w:r>
          </w:p>
        </w:tc>
        <w:tc>
          <w:tcPr>
            <w:tcW w:w="359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Музыка</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0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75" w:hRule="auto"/>
          <w:jc w:val="center"/>
        </w:trPr>
        <w:tc>
          <w:tcPr>
            <w:tcW w:w="180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59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Изобразительное искусство</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0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75" w:hRule="auto"/>
          <w:jc w:val="center"/>
        </w:trPr>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tabs>
                <w:tab w:val="left" w:pos="4500" w:leader="none"/>
                <w:tab w:val="left" w:pos="9180" w:leader="none"/>
                <w:tab w:val="left" w:pos="9360"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Технология </w:t>
            </w:r>
          </w:p>
        </w:tc>
        <w:tc>
          <w:tcPr>
            <w:tcW w:w="359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tabs>
                <w:tab w:val="left" w:pos="4500" w:leader="none"/>
                <w:tab w:val="left" w:pos="9180" w:leader="none"/>
                <w:tab w:val="left" w:pos="9360"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Технология </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0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75" w:hRule="auto"/>
          <w:jc w:val="center"/>
        </w:trPr>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tabs>
                <w:tab w:val="left" w:pos="4500" w:leader="none"/>
                <w:tab w:val="left" w:pos="9180" w:leader="none"/>
                <w:tab w:val="left" w:pos="9360"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Физическая культура</w:t>
            </w:r>
          </w:p>
        </w:tc>
        <w:tc>
          <w:tcPr>
            <w:tcW w:w="359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tabs>
                <w:tab w:val="left" w:pos="4500" w:leader="none"/>
                <w:tab w:val="left" w:pos="9180" w:leader="none"/>
                <w:tab w:val="left" w:pos="9360"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Физическая культура</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9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20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375" w:hRule="auto"/>
          <w:jc w:val="center"/>
        </w:trPr>
        <w:tc>
          <w:tcPr>
            <w:tcW w:w="5397"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tabs>
                <w:tab w:val="left" w:pos="4500" w:leader="none"/>
                <w:tab w:val="left" w:pos="9180" w:leader="none"/>
                <w:tab w:val="left" w:pos="9360"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Итого</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c>
          <w:tcPr>
            <w:tcW w:w="9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c>
          <w:tcPr>
            <w:tcW w:w="20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r>
      <w:tr>
        <w:trPr>
          <w:trHeight w:val="570" w:hRule="auto"/>
          <w:jc w:val="center"/>
        </w:trPr>
        <w:tc>
          <w:tcPr>
            <w:tcW w:w="5397"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500" w:leader="none"/>
                <w:tab w:val="left" w:pos="9180" w:leader="none"/>
                <w:tab w:val="left" w:pos="9360"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Часть, формируемая участниками образовательных отношений</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9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0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570" w:hRule="auto"/>
          <w:jc w:val="center"/>
        </w:trPr>
        <w:tc>
          <w:tcPr>
            <w:tcW w:w="317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500" w:leader="none"/>
                <w:tab w:val="left" w:pos="9180" w:leader="none"/>
                <w:tab w:val="left" w:pos="9360"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Русский язык и литературное чтение</w:t>
            </w:r>
          </w:p>
        </w:tc>
        <w:tc>
          <w:tcPr>
            <w:tcW w:w="22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500" w:leader="none"/>
                <w:tab w:val="left" w:pos="9180" w:leader="none"/>
                <w:tab w:val="left" w:pos="9360"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Русский язык</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0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499" w:hRule="auto"/>
          <w:jc w:val="center"/>
        </w:trPr>
        <w:tc>
          <w:tcPr>
            <w:tcW w:w="317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500" w:leader="none"/>
                <w:tab w:val="left" w:pos="9180" w:leader="none"/>
                <w:tab w:val="left" w:pos="9360"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Максимально допустимая недельная нагрузка </w:t>
            </w:r>
          </w:p>
        </w:tc>
        <w:tc>
          <w:tcPr>
            <w:tcW w:w="22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500" w:leader="none"/>
                <w:tab w:val="left" w:pos="9180" w:leader="none"/>
                <w:tab w:val="left" w:pos="936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c>
          <w:tcPr>
            <w:tcW w:w="9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c>
          <w:tcPr>
            <w:tcW w:w="20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4500" w:leader="none"/>
                <w:tab w:val="left" w:pos="9180" w:leader="none"/>
                <w:tab w:val="left" w:pos="936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r>
    </w:tbl>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Директор школы                         Львова Н.Г.</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0.bin" Id="docRId0" Type="http://schemas.openxmlformats.org/officeDocument/2006/relationships/oleObject"/><Relationship Target="media/image0.wmf" Id="docRId1" Type="http://schemas.openxmlformats.org/officeDocument/2006/relationships/image"/><Relationship Target="numbering.xml" Id="docRId2" Type="http://schemas.openxmlformats.org/officeDocument/2006/relationships/numbering"/><Relationship Target="styles.xml" Id="docRId3" Type="http://schemas.openxmlformats.org/officeDocument/2006/relationships/styles"/></Relationships>
</file>